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C6DE" w14:textId="77777777" w:rsidR="001B23B0" w:rsidRDefault="00570956">
      <w:pPr>
        <w:jc w:val="center"/>
      </w:pPr>
      <w:r>
        <w:rPr>
          <w:noProof/>
        </w:rPr>
        <w:drawing>
          <wp:inline distT="0" distB="0" distL="0" distR="0" wp14:anchorId="505AC6F2" wp14:editId="458F0F93">
            <wp:extent cx="1600200" cy="2400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ge_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102AC" w14:textId="77777777" w:rsidR="001B23B0" w:rsidRPr="0078601D" w:rsidRDefault="00570956">
      <w:pPr>
        <w:pStyle w:val="SAGETagline"/>
        <w:rPr>
          <w:b/>
          <w:bCs/>
          <w:sz w:val="28"/>
          <w:szCs w:val="28"/>
        </w:rPr>
      </w:pPr>
      <w:r w:rsidRPr="0078601D">
        <w:rPr>
          <w:b/>
          <w:bCs/>
          <w:sz w:val="28"/>
          <w:szCs w:val="28"/>
        </w:rPr>
        <w:t>Education that happens inside an extraordinary journey</w:t>
      </w:r>
    </w:p>
    <w:p w14:paraId="072A7458" w14:textId="332B3CF8" w:rsidR="001B23B0" w:rsidRDefault="00570956" w:rsidP="00ED6EEE">
      <w:pPr>
        <w:pStyle w:val="SAGETitle"/>
      </w:pPr>
      <w:r>
        <w:t>SAGE Global Sedation &amp; Anesthesia Sym</w:t>
      </w:r>
      <w:r w:rsidR="00ED6EEE">
        <w:t>posium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92"/>
      </w:tblGrid>
      <w:tr w:rsidR="001B23B0" w14:paraId="3F7213FC" w14:textId="77777777">
        <w:tc>
          <w:tcPr>
            <w:tcW w:w="9792" w:type="dxa"/>
            <w:tcBorders>
              <w:top w:val="single" w:sz="6" w:space="0" w:color="D9E2F0"/>
              <w:left w:val="single" w:sz="6" w:space="0" w:color="D9E2F0"/>
              <w:bottom w:val="single" w:sz="6" w:space="0" w:color="D9E2F0"/>
              <w:right w:val="single" w:sz="6" w:space="0" w:color="D9E2F0"/>
            </w:tcBorders>
            <w:shd w:val="clear" w:color="auto" w:fill="EEF4FA"/>
          </w:tcPr>
          <w:p w14:paraId="51979669" w14:textId="4418184D" w:rsidR="001B23B0" w:rsidRDefault="00570956" w:rsidP="00191F09">
            <w:pPr>
              <w:spacing w:after="0"/>
              <w:jc w:val="center"/>
            </w:pPr>
            <w:r>
              <w:rPr>
                <w:b/>
                <w:color w:val="1F4E79"/>
                <w:sz w:val="26"/>
              </w:rPr>
              <w:t>20.0 CME Cre</w:t>
            </w:r>
            <w:r w:rsidR="00191F09">
              <w:rPr>
                <w:b/>
                <w:color w:val="1F4E79"/>
                <w:sz w:val="26"/>
              </w:rPr>
              <w:t>dits</w:t>
            </w:r>
          </w:p>
        </w:tc>
      </w:tr>
    </w:tbl>
    <w:p w14:paraId="16759339" w14:textId="77777777" w:rsidR="001B23B0" w:rsidRDefault="001B23B0"/>
    <w:p w14:paraId="379DC208" w14:textId="77777777" w:rsidR="001B23B0" w:rsidRDefault="00570956">
      <w:pPr>
        <w:pStyle w:val="SAGEDay"/>
      </w:pPr>
      <w:r>
        <w:t>Day 1</w:t>
      </w:r>
    </w:p>
    <w:p w14:paraId="3A297BF5" w14:textId="77777777" w:rsidR="001B23B0" w:rsidRDefault="00570956">
      <w:pPr>
        <w:pStyle w:val="SAGELecture"/>
      </w:pPr>
      <w:r>
        <w:rPr>
          <w:b/>
          <w:color w:val="212121"/>
        </w:rPr>
        <w:t>Non-OR Anesthesia and Sedation: Introduction, Pearls and Pitfalls</w:t>
      </w:r>
      <w:r>
        <w:rPr>
          <w:color w:val="404040"/>
        </w:rPr>
        <w:t xml:space="preserve"> — Introduces the principles, indications, and common hazards of delivering anesthesia and sedation outside the operating room, with emphasis on practical safeguards, workflow planning, and frequent pitfalls. CME Credit: 1.0 hour.</w:t>
      </w:r>
    </w:p>
    <w:p w14:paraId="648531AE" w14:textId="77777777" w:rsidR="001B23B0" w:rsidRDefault="00570956">
      <w:pPr>
        <w:pStyle w:val="SAGELecture"/>
      </w:pPr>
      <w:r>
        <w:rPr>
          <w:b/>
          <w:color w:val="212121"/>
        </w:rPr>
        <w:t>Optimizing Pediatric Sedation Outcomes</w:t>
      </w:r>
      <w:r>
        <w:rPr>
          <w:color w:val="404040"/>
        </w:rPr>
        <w:t xml:space="preserve"> — Reviews evidence-based approaches to improve pediatric sedation outcomes through patient selection, preparation, family communication, and recovery planning. CME Credit: 1.0 hour.</w:t>
      </w:r>
    </w:p>
    <w:p w14:paraId="64CFCB95" w14:textId="77777777" w:rsidR="001B23B0" w:rsidRDefault="00570956">
      <w:pPr>
        <w:pStyle w:val="SAGEDay"/>
      </w:pPr>
      <w:r>
        <w:t>Day 2</w:t>
      </w:r>
    </w:p>
    <w:p w14:paraId="12C1F823" w14:textId="77777777" w:rsidR="001B23B0" w:rsidRDefault="00570956">
      <w:pPr>
        <w:pStyle w:val="SAGELecture"/>
      </w:pPr>
      <w:r>
        <w:rPr>
          <w:b/>
          <w:color w:val="212121"/>
        </w:rPr>
        <w:t>Evaluation of the Difficult Pediatric Airway</w:t>
      </w:r>
      <w:r>
        <w:rPr>
          <w:color w:val="404040"/>
        </w:rPr>
        <w:t xml:space="preserve"> — Focuses on recognition and assessment of the difficult pediatric airway, including pre-procedure predictors, escalation planning, and decision-making in higher-risk cases. CME Credit: 1.0 hour.</w:t>
      </w:r>
    </w:p>
    <w:p w14:paraId="3659047F" w14:textId="77777777" w:rsidR="001B23B0" w:rsidRDefault="00570956">
      <w:pPr>
        <w:pStyle w:val="SAGELecture"/>
      </w:pPr>
      <w:r>
        <w:rPr>
          <w:b/>
          <w:color w:val="212121"/>
        </w:rPr>
        <w:t>Medical Evaluation and Risk Assessment for Office-Based Sedation</w:t>
      </w:r>
      <w:r>
        <w:rPr>
          <w:color w:val="404040"/>
        </w:rPr>
        <w:t xml:space="preserve"> — Examines the pre-sedation medical evaluation required for office-based practice, with attention to comorbidities, setting appropriateness, and risk stratification. CME Credit: 1.0 hour.</w:t>
      </w:r>
    </w:p>
    <w:p w14:paraId="100E554E" w14:textId="77777777" w:rsidR="001B23B0" w:rsidRDefault="00570956">
      <w:pPr>
        <w:pStyle w:val="SAGELecture"/>
      </w:pPr>
      <w:r>
        <w:rPr>
          <w:b/>
          <w:color w:val="212121"/>
        </w:rPr>
        <w:t>Sedation Delivery: Exploring All Routes</w:t>
      </w:r>
      <w:r>
        <w:rPr>
          <w:color w:val="404040"/>
        </w:rPr>
        <w:t xml:space="preserve"> — Compares oral, intranasal, intravenous, inhaled, and other delivery routes, highlighting onset, reliability, advantages, and limitations in clinical practice. CME Credit: 1.0 hour.</w:t>
      </w:r>
    </w:p>
    <w:p w14:paraId="10EB4AA9" w14:textId="77777777" w:rsidR="001B23B0" w:rsidRDefault="00570956">
      <w:pPr>
        <w:pStyle w:val="SAGEDay"/>
      </w:pPr>
      <w:r>
        <w:t>Day 3</w:t>
      </w:r>
    </w:p>
    <w:p w14:paraId="2D9BE726" w14:textId="77777777" w:rsidR="001B23B0" w:rsidRDefault="00570956">
      <w:pPr>
        <w:pStyle w:val="SAGELecture"/>
      </w:pPr>
      <w:r>
        <w:rPr>
          <w:b/>
          <w:color w:val="212121"/>
        </w:rPr>
        <w:t>Navigating Sedation Regulations, Standards, and Scope of Practice</w:t>
      </w:r>
      <w:r>
        <w:rPr>
          <w:color w:val="404040"/>
        </w:rPr>
        <w:t xml:space="preserve"> — Summarizes the regulatory, credentialing, and scope-of-practice issues that shape safe sedation delivery across institutions and care environments. CME Credit: 1.0 hour.</w:t>
      </w:r>
    </w:p>
    <w:p w14:paraId="50FF67A8" w14:textId="77777777" w:rsidR="001B23B0" w:rsidRDefault="00570956">
      <w:pPr>
        <w:pStyle w:val="SAGELecture"/>
      </w:pPr>
      <w:r>
        <w:rPr>
          <w:b/>
          <w:color w:val="212121"/>
        </w:rPr>
        <w:lastRenderedPageBreak/>
        <w:t>Novel Anesthetics and Analgesics</w:t>
      </w:r>
      <w:r>
        <w:rPr>
          <w:color w:val="404040"/>
        </w:rPr>
        <w:t xml:space="preserve"> — Explores newer anesthetic and analgesic agents, with discussion of mechanisms, emerging evidence, potential advantages, and practical considerations for use. CME Credit: 1.0 hour.</w:t>
      </w:r>
    </w:p>
    <w:p w14:paraId="7138837A" w14:textId="77777777" w:rsidR="001B23B0" w:rsidRDefault="00570956">
      <w:pPr>
        <w:pStyle w:val="SAGELecture"/>
      </w:pPr>
      <w:r>
        <w:rPr>
          <w:b/>
          <w:color w:val="212121"/>
        </w:rPr>
        <w:t>Adult M&amp;M: Root Cause Analysis of Closed Claim Cases</w:t>
      </w:r>
      <w:r>
        <w:rPr>
          <w:color w:val="404040"/>
        </w:rPr>
        <w:t xml:space="preserve"> — Uses closed-claim and morbidity-and-mortality style review to identify recurrent system failures, cognitive errors, and improvement opportunities in adult sedation care. CME Credit: 1.0 hour.</w:t>
      </w:r>
    </w:p>
    <w:p w14:paraId="2018CB4B" w14:textId="77777777" w:rsidR="001B23B0" w:rsidRDefault="00570956">
      <w:pPr>
        <w:pStyle w:val="SAGEDay"/>
      </w:pPr>
      <w:r>
        <w:t>Day 4</w:t>
      </w:r>
    </w:p>
    <w:p w14:paraId="723BCC57" w14:textId="77777777" w:rsidR="001B23B0" w:rsidRDefault="00570956">
      <w:pPr>
        <w:pStyle w:val="SAGELecture"/>
      </w:pPr>
      <w:r>
        <w:rPr>
          <w:b/>
          <w:color w:val="212121"/>
        </w:rPr>
        <w:t>Risk Management and Sedation Safety: Lessons Across Practice Settings</w:t>
      </w:r>
      <w:r>
        <w:rPr>
          <w:color w:val="404040"/>
        </w:rPr>
        <w:t xml:space="preserve"> — Examines how risk management principles translate across hospital, ambulatory, dental, and office-based settings to strengthen sedation safety and reliability. CME Credit: 1.0 hour.</w:t>
      </w:r>
    </w:p>
    <w:p w14:paraId="7B1B2C79" w14:textId="77777777" w:rsidR="001B23B0" w:rsidRDefault="00570956">
      <w:pPr>
        <w:pStyle w:val="SAGELecture"/>
      </w:pPr>
      <w:r>
        <w:rPr>
          <w:b/>
          <w:color w:val="212121"/>
        </w:rPr>
        <w:t>Sedation for Patients with Syndromes and Complex Comorbidities</w:t>
      </w:r>
      <w:r>
        <w:rPr>
          <w:color w:val="404040"/>
        </w:rPr>
        <w:t xml:space="preserve"> — Addresses sedation planning for patients with syndromes, multisystem disease, and complex comorbidities, with emphasis on tailoring technique to individual risk. CME Credit: 1.0 hour.</w:t>
      </w:r>
    </w:p>
    <w:p w14:paraId="5C861C5C" w14:textId="77777777" w:rsidR="001B23B0" w:rsidRDefault="00570956">
      <w:pPr>
        <w:pStyle w:val="SAGELecture"/>
      </w:pPr>
      <w:r>
        <w:rPr>
          <w:b/>
          <w:color w:val="212121"/>
        </w:rPr>
        <w:t>Competency-Based Training for a Safe Sedation Practice</w:t>
      </w:r>
      <w:r>
        <w:rPr>
          <w:color w:val="404040"/>
        </w:rPr>
        <w:t xml:space="preserve"> — Reviews the components of competency-based education, assessment, and maintenance of skills required to support a consistently safe sedation practice. CME Credit: 1.0 hour.</w:t>
      </w:r>
    </w:p>
    <w:p w14:paraId="1FFADFBF" w14:textId="77777777" w:rsidR="001B23B0" w:rsidRDefault="00570956">
      <w:pPr>
        <w:pStyle w:val="SAGEDay"/>
      </w:pPr>
      <w:r>
        <w:t>Day 5</w:t>
      </w:r>
    </w:p>
    <w:p w14:paraId="7666728F" w14:textId="77777777" w:rsidR="001B23B0" w:rsidRDefault="00570956">
      <w:pPr>
        <w:pStyle w:val="SAGELecture"/>
      </w:pPr>
      <w:r>
        <w:rPr>
          <w:b/>
          <w:color w:val="212121"/>
        </w:rPr>
        <w:t>Oral Sedation for Pediatric Patients: Safe and Effective Medication Strategies</w:t>
      </w:r>
      <w:r>
        <w:rPr>
          <w:color w:val="404040"/>
        </w:rPr>
        <w:t xml:space="preserve"> — Discusses medication selection, dosing strategy, timing, and monitoring considerations for safe and effective oral sedation in pediatric patients. CME Credit: 1.0 hour.</w:t>
      </w:r>
    </w:p>
    <w:p w14:paraId="5345BF6D" w14:textId="77777777" w:rsidR="001B23B0" w:rsidRDefault="00570956">
      <w:pPr>
        <w:pStyle w:val="SAGELecture"/>
      </w:pPr>
      <w:r>
        <w:rPr>
          <w:b/>
          <w:color w:val="212121"/>
        </w:rPr>
        <w:t>Challenging Cases: An Interactive Discourse on Real-World Challenges</w:t>
      </w:r>
      <w:r>
        <w:rPr>
          <w:color w:val="404040"/>
        </w:rPr>
        <w:t xml:space="preserve"> — Through interactive, real-world cases, this session explores high-risk and complex sedation scenarios across both adult and pediatric populations. Emphasis is placed on clinical decision-making, complication management, and adapting sedation strategies in dynamic and resource-variable environments. CME Credit: 1.5 hours.</w:t>
      </w:r>
    </w:p>
    <w:p w14:paraId="35CD8C98" w14:textId="77777777" w:rsidR="001B23B0" w:rsidRDefault="00570956">
      <w:pPr>
        <w:pStyle w:val="SAGELecture"/>
      </w:pPr>
      <w:r>
        <w:rPr>
          <w:b/>
          <w:color w:val="212121"/>
        </w:rPr>
        <w:t>Sedation Strategies for Emergent Procedures</w:t>
      </w:r>
      <w:r>
        <w:rPr>
          <w:color w:val="404040"/>
        </w:rPr>
        <w:t xml:space="preserve"> — Reviews sedation approaches for urgent and emergent procedures, emphasizing rapid assessment, agent selection, team readiness, and complication anticipation. CME Credit: 1.0 hour.</w:t>
      </w:r>
    </w:p>
    <w:p w14:paraId="29976E73" w14:textId="77777777" w:rsidR="001B23B0" w:rsidRDefault="00570956">
      <w:pPr>
        <w:pStyle w:val="SAGEDay"/>
      </w:pPr>
      <w:r>
        <w:t>Day 6</w:t>
      </w:r>
    </w:p>
    <w:p w14:paraId="3174F357" w14:textId="77777777" w:rsidR="001B23B0" w:rsidRDefault="00570956">
      <w:pPr>
        <w:pStyle w:val="SAGELecture"/>
      </w:pPr>
      <w:r>
        <w:rPr>
          <w:b/>
          <w:color w:val="212121"/>
        </w:rPr>
        <w:t>Non Pharmacologic Techniques for Success</w:t>
      </w:r>
      <w:r>
        <w:rPr>
          <w:color w:val="404040"/>
        </w:rPr>
        <w:t xml:space="preserve"> — Highlights behavioral, environmental, and communication-based strategies that reduce distress, improve cooperation, and support successful sedation encounters. CME Credit: 1.0 hour.</w:t>
      </w:r>
    </w:p>
    <w:p w14:paraId="6EA827F8" w14:textId="77777777" w:rsidR="001B23B0" w:rsidRDefault="00570956">
      <w:pPr>
        <w:pStyle w:val="SAGELecture"/>
      </w:pPr>
      <w:r>
        <w:rPr>
          <w:b/>
          <w:color w:val="212121"/>
        </w:rPr>
        <w:t>ACLS and PALS: A Review and Update</w:t>
      </w:r>
      <w:r>
        <w:rPr>
          <w:color w:val="404040"/>
        </w:rPr>
        <w:t xml:space="preserve"> — Provides a focused review of current ACLS and PALS principles most relevant to sedation providers, including recognition of deterioration and early response priorities. CME Credit: 1.0 hour.</w:t>
      </w:r>
    </w:p>
    <w:p w14:paraId="44124D5B" w14:textId="77777777" w:rsidR="001B23B0" w:rsidRDefault="00570956">
      <w:pPr>
        <w:pStyle w:val="SAGEDay"/>
      </w:pPr>
      <w:r>
        <w:t>Day 7</w:t>
      </w:r>
    </w:p>
    <w:p w14:paraId="0D2E6411" w14:textId="77777777" w:rsidR="001B23B0" w:rsidRDefault="00570956">
      <w:pPr>
        <w:pStyle w:val="SAGELecture"/>
      </w:pPr>
      <w:r>
        <w:rPr>
          <w:b/>
          <w:color w:val="212121"/>
        </w:rPr>
        <w:t>Challenging Cases: An Interactive Discourse on Real-World Challenges</w:t>
      </w:r>
      <w:r>
        <w:rPr>
          <w:color w:val="404040"/>
        </w:rPr>
        <w:t xml:space="preserve"> — A second advanced case-based session that extends the discussion to additional complex scenarios, reinforcing structured reasoning, complication response, and shared learning. CME Credit: 1.5 hours.</w:t>
      </w:r>
    </w:p>
    <w:p w14:paraId="47C1A902" w14:textId="77777777" w:rsidR="001B23B0" w:rsidRDefault="00570956">
      <w:pPr>
        <w:pStyle w:val="SAGELecture"/>
      </w:pPr>
      <w:r>
        <w:rPr>
          <w:b/>
          <w:color w:val="212121"/>
        </w:rPr>
        <w:lastRenderedPageBreak/>
        <w:t>Teenage Challenges: Substance (Ab)Use and Assent</w:t>
      </w:r>
      <w:r>
        <w:rPr>
          <w:color w:val="404040"/>
        </w:rPr>
        <w:t xml:space="preserve"> — Explores the special considerations involved in adolescent sedation, including assent, confidentiality, risk screening, and the implications of substance use or misuse. CME Credit: 1.0 hour.</w:t>
      </w:r>
    </w:p>
    <w:p w14:paraId="6B7D7A7B" w14:textId="77777777" w:rsidR="001B23B0" w:rsidRDefault="00570956">
      <w:pPr>
        <w:pStyle w:val="SAGELecture"/>
      </w:pPr>
      <w:r>
        <w:rPr>
          <w:b/>
          <w:color w:val="212121"/>
        </w:rPr>
        <w:t>Impactful Publications of the Year</w:t>
      </w:r>
      <w:r>
        <w:rPr>
          <w:color w:val="404040"/>
        </w:rPr>
        <w:t xml:space="preserve"> — Reviews the year’s most influential publications in sedation and anesthesia, distilling the studies most likely to affect practice, policy, or future research. CME Credit: 1.0 hour.</w:t>
      </w:r>
    </w:p>
    <w:p w14:paraId="47D0A8D5" w14:textId="77777777" w:rsidR="001B23B0" w:rsidRDefault="001B23B0"/>
    <w:p w14:paraId="2AE9DFA7" w14:textId="77777777" w:rsidR="001B23B0" w:rsidRDefault="00570956">
      <w:pPr>
        <w:pStyle w:val="SAGEBand"/>
        <w:shd w:val="clear" w:color="auto" w:fill="1F4E79"/>
        <w:jc w:val="center"/>
      </w:pPr>
      <w:r>
        <w:t>Total CME Credits: 20.0 Hours</w:t>
      </w:r>
    </w:p>
    <w:p w14:paraId="6935CF33" w14:textId="5EB58E47" w:rsidR="001B23B0" w:rsidRDefault="001B23B0">
      <w:pPr>
        <w:pStyle w:val="SAGETagline"/>
      </w:pPr>
    </w:p>
    <w:sectPr w:rsidR="001B23B0" w:rsidSect="00034616"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6593705">
    <w:abstractNumId w:val="8"/>
  </w:num>
  <w:num w:numId="2" w16cid:durableId="848179535">
    <w:abstractNumId w:val="6"/>
  </w:num>
  <w:num w:numId="3" w16cid:durableId="89548489">
    <w:abstractNumId w:val="5"/>
  </w:num>
  <w:num w:numId="4" w16cid:durableId="879441695">
    <w:abstractNumId w:val="4"/>
  </w:num>
  <w:num w:numId="5" w16cid:durableId="1889802783">
    <w:abstractNumId w:val="7"/>
  </w:num>
  <w:num w:numId="6" w16cid:durableId="303124605">
    <w:abstractNumId w:val="3"/>
  </w:num>
  <w:num w:numId="7" w16cid:durableId="759061250">
    <w:abstractNumId w:val="2"/>
  </w:num>
  <w:num w:numId="8" w16cid:durableId="1897742079">
    <w:abstractNumId w:val="1"/>
  </w:num>
  <w:num w:numId="9" w16cid:durableId="60981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F09"/>
    <w:rsid w:val="001B1A00"/>
    <w:rsid w:val="001B23B0"/>
    <w:rsid w:val="0029639D"/>
    <w:rsid w:val="002B3C8E"/>
    <w:rsid w:val="00326F90"/>
    <w:rsid w:val="004A0799"/>
    <w:rsid w:val="00570956"/>
    <w:rsid w:val="0078601D"/>
    <w:rsid w:val="00AA1D8D"/>
    <w:rsid w:val="00B47730"/>
    <w:rsid w:val="00CB0664"/>
    <w:rsid w:val="00ED6E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E38B6"/>
  <w14:defaultImageDpi w14:val="300"/>
  <w15:docId w15:val="{CE6B233A-121B-C945-8A48-AC1ED53F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AGETagline">
    <w:name w:val="SAGE Tagline"/>
    <w:pPr>
      <w:spacing w:after="80"/>
      <w:jc w:val="center"/>
    </w:pPr>
    <w:rPr>
      <w:rFonts w:ascii="Aptos" w:hAnsi="Aptos"/>
      <w:i/>
      <w:color w:val="595959"/>
      <w:sz w:val="20"/>
    </w:rPr>
  </w:style>
  <w:style w:type="paragraph" w:customStyle="1" w:styleId="SAGETitle">
    <w:name w:val="SAGE Title"/>
    <w:pPr>
      <w:spacing w:after="60"/>
      <w:jc w:val="center"/>
    </w:pPr>
    <w:rPr>
      <w:rFonts w:ascii="Aptos Display" w:hAnsi="Aptos Display"/>
      <w:b/>
      <w:color w:val="1F4E79"/>
      <w:sz w:val="36"/>
    </w:rPr>
  </w:style>
  <w:style w:type="paragraph" w:customStyle="1" w:styleId="SAGESubtitle">
    <w:name w:val="SAGE Subtitle"/>
    <w:pPr>
      <w:jc w:val="center"/>
    </w:pPr>
    <w:rPr>
      <w:rFonts w:ascii="Aptos" w:hAnsi="Aptos"/>
      <w:b/>
      <w:color w:val="444444"/>
      <w:sz w:val="24"/>
    </w:rPr>
  </w:style>
  <w:style w:type="paragraph" w:customStyle="1" w:styleId="SAGEBand">
    <w:name w:val="SAGE Band"/>
    <w:pPr>
      <w:spacing w:before="160" w:after="120"/>
    </w:pPr>
    <w:rPr>
      <w:rFonts w:ascii="Aptos" w:hAnsi="Aptos"/>
      <w:b/>
      <w:color w:val="FFFFFF"/>
      <w:sz w:val="21"/>
    </w:rPr>
  </w:style>
  <w:style w:type="paragraph" w:customStyle="1" w:styleId="SAGEDay">
    <w:name w:val="SAGE Day"/>
    <w:pPr>
      <w:keepNext/>
      <w:spacing w:before="200" w:after="80"/>
    </w:pPr>
    <w:rPr>
      <w:rFonts w:ascii="Aptos" w:hAnsi="Aptos"/>
      <w:b/>
      <w:color w:val="1F4E79"/>
      <w:sz w:val="24"/>
    </w:rPr>
  </w:style>
  <w:style w:type="paragraph" w:customStyle="1" w:styleId="SAGELecture">
    <w:name w:val="SAGE Lecture"/>
    <w:pPr>
      <w:spacing w:after="140" w:line="271" w:lineRule="auto"/>
      <w:ind w:left="216"/>
    </w:pPr>
    <w:rPr>
      <w:rFonts w:ascii="Aptos" w:hAnsi="Aptos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keira mason</cp:lastModifiedBy>
  <cp:revision>6</cp:revision>
  <dcterms:created xsi:type="dcterms:W3CDTF">2013-12-23T23:15:00Z</dcterms:created>
  <dcterms:modified xsi:type="dcterms:W3CDTF">2026-04-17T22:18:00Z</dcterms:modified>
  <cp:category/>
</cp:coreProperties>
</file>